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vertAnchor="page" w:horzAnchor="page" w:tblpX="889" w:tblpY="1438"/>
        <w:tblOverlap w:val="never"/>
        <w:tblW w:w="102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
        <w:gridCol w:w="2053"/>
        <w:gridCol w:w="2067"/>
        <w:gridCol w:w="1920"/>
        <w:gridCol w:w="3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7" w:type="dxa"/>
            <w:vAlign w:val="center"/>
          </w:tcPr>
          <w:p>
            <w:pPr>
              <w:jc w:val="center"/>
              <w:rPr>
                <w:sz w:val="18"/>
                <w:szCs w:val="18"/>
              </w:rPr>
            </w:pPr>
            <w:r>
              <w:rPr>
                <w:rFonts w:hint="eastAsia"/>
                <w:sz w:val="18"/>
                <w:szCs w:val="18"/>
              </w:rPr>
              <w:t>发布时间</w:t>
            </w:r>
          </w:p>
        </w:tc>
        <w:tc>
          <w:tcPr>
            <w:tcW w:w="2053" w:type="dxa"/>
            <w:vAlign w:val="center"/>
          </w:tcPr>
          <w:p>
            <w:pPr>
              <w:jc w:val="center"/>
              <w:rPr>
                <w:sz w:val="18"/>
                <w:szCs w:val="18"/>
              </w:rPr>
            </w:pPr>
            <w:r>
              <w:rPr>
                <w:rFonts w:hint="eastAsia"/>
                <w:sz w:val="18"/>
                <w:szCs w:val="18"/>
              </w:rPr>
              <w:t>标题</w:t>
            </w:r>
          </w:p>
        </w:tc>
        <w:tc>
          <w:tcPr>
            <w:tcW w:w="2067" w:type="dxa"/>
            <w:vAlign w:val="center"/>
          </w:tcPr>
          <w:p>
            <w:pPr>
              <w:jc w:val="center"/>
              <w:rPr>
                <w:sz w:val="18"/>
                <w:szCs w:val="18"/>
              </w:rPr>
            </w:pPr>
            <w:r>
              <w:rPr>
                <w:rFonts w:hint="eastAsia"/>
                <w:sz w:val="18"/>
                <w:szCs w:val="18"/>
              </w:rPr>
              <w:t>链接</w:t>
            </w:r>
          </w:p>
        </w:tc>
        <w:tc>
          <w:tcPr>
            <w:tcW w:w="1920" w:type="dxa"/>
            <w:vAlign w:val="center"/>
          </w:tcPr>
          <w:p>
            <w:pPr>
              <w:jc w:val="center"/>
              <w:rPr>
                <w:sz w:val="18"/>
                <w:szCs w:val="18"/>
              </w:rPr>
            </w:pPr>
            <w:r>
              <w:rPr>
                <w:rFonts w:hint="eastAsia"/>
                <w:sz w:val="18"/>
                <w:szCs w:val="18"/>
              </w:rPr>
              <w:t>发布机关</w:t>
            </w:r>
          </w:p>
        </w:tc>
        <w:tc>
          <w:tcPr>
            <w:tcW w:w="3120" w:type="dxa"/>
            <w:vAlign w:val="center"/>
          </w:tcPr>
          <w:p>
            <w:pPr>
              <w:jc w:val="center"/>
              <w:rPr>
                <w:sz w:val="18"/>
                <w:szCs w:val="18"/>
              </w:rPr>
            </w:pPr>
            <w:r>
              <w:rPr>
                <w:rFonts w:hint="eastAsia"/>
                <w:sz w:val="18"/>
                <w:szCs w:val="18"/>
              </w:rPr>
              <w:t>政策规定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1" w:hRule="atLeast"/>
        </w:trPr>
        <w:tc>
          <w:tcPr>
            <w:tcW w:w="1067" w:type="dxa"/>
            <w:vAlign w:val="center"/>
          </w:tcPr>
          <w:p>
            <w:pPr>
              <w:jc w:val="center"/>
              <w:rPr>
                <w:rFonts w:hint="default" w:ascii="Times New Roman" w:hAnsi="Times New Roman" w:cs="Times New Roman" w:eastAsiaTheme="minorEastAsia"/>
                <w:sz w:val="18"/>
                <w:szCs w:val="18"/>
                <w:lang w:val="en-US" w:eastAsia="zh-CN"/>
              </w:rPr>
            </w:pPr>
            <w:r>
              <w:rPr>
                <w:rFonts w:hint="eastAsia" w:ascii="Times New Roman" w:hAnsi="Times New Roman" w:cs="Times New Roman"/>
                <w:sz w:val="18"/>
                <w:szCs w:val="18"/>
                <w:lang w:val="en-US" w:eastAsia="zh-CN"/>
              </w:rPr>
              <w:t>2020-6-3</w:t>
            </w:r>
          </w:p>
        </w:tc>
        <w:tc>
          <w:tcPr>
            <w:tcW w:w="2053" w:type="dxa"/>
            <w:vAlign w:val="center"/>
          </w:tcPr>
          <w:p>
            <w:pPr>
              <w:jc w:val="center"/>
              <w:rPr>
                <w:rFonts w:hint="eastAsia"/>
                <w:sz w:val="18"/>
                <w:szCs w:val="18"/>
              </w:rPr>
            </w:pPr>
            <w:r>
              <w:rPr>
                <w:rFonts w:hint="eastAsia"/>
                <w:sz w:val="18"/>
                <w:szCs w:val="18"/>
              </w:rPr>
              <w:t>关于对部分机动车调整交通管理措施 降低污染物排放的通告</w:t>
            </w:r>
          </w:p>
        </w:tc>
        <w:tc>
          <w:tcPr>
            <w:tcW w:w="2067" w:type="dxa"/>
            <w:vAlign w:val="center"/>
          </w:tcPr>
          <w:p>
            <w:pPr>
              <w:jc w:val="center"/>
            </w:pPr>
            <w:r>
              <w:rPr>
                <w:rStyle w:val="9"/>
                <w:rFonts w:hint="eastAsia" w:ascii="Times New Roman" w:hAnsi="Times New Roman" w:eastAsia="宋体" w:cs="Times New Roman"/>
                <w:sz w:val="18"/>
                <w:szCs w:val="18"/>
              </w:rPr>
              <w:t>http://www.bjyq.gov.cn/yanqing/xyyq/xyzs0/2742216/index.shtml</w:t>
            </w:r>
          </w:p>
        </w:tc>
        <w:tc>
          <w:tcPr>
            <w:tcW w:w="1920" w:type="dxa"/>
            <w:vAlign w:val="center"/>
          </w:tcPr>
          <w:p>
            <w:pPr>
              <w:jc w:val="center"/>
              <w:rPr>
                <w:rFonts w:hint="eastAsia"/>
                <w:sz w:val="18"/>
                <w:szCs w:val="18"/>
              </w:rPr>
            </w:pPr>
            <w:r>
              <w:rPr>
                <w:rFonts w:hint="eastAsia"/>
                <w:sz w:val="18"/>
                <w:szCs w:val="18"/>
              </w:rPr>
              <w:t>北京市延庆区人民政府</w:t>
            </w:r>
          </w:p>
        </w:tc>
        <w:tc>
          <w:tcPr>
            <w:tcW w:w="3120" w:type="dxa"/>
            <w:vAlign w:val="center"/>
          </w:tcPr>
          <w:p>
            <w:pPr>
              <w:rPr>
                <w:rFonts w:hint="eastAsia"/>
                <w:sz w:val="18"/>
                <w:szCs w:val="18"/>
              </w:rPr>
            </w:pPr>
            <w:r>
              <w:rPr>
                <w:rFonts w:hint="eastAsia"/>
                <w:sz w:val="18"/>
                <w:szCs w:val="18"/>
              </w:rPr>
              <w:t>本通告划定的区域范围内的交通管理措施:</w:t>
            </w:r>
          </w:p>
          <w:p>
            <w:pPr>
              <w:rPr>
                <w:rFonts w:hint="eastAsia"/>
                <w:sz w:val="18"/>
                <w:szCs w:val="18"/>
              </w:rPr>
            </w:pPr>
            <w:r>
              <w:rPr>
                <w:rFonts w:hint="eastAsia"/>
                <w:sz w:val="18"/>
                <w:szCs w:val="18"/>
              </w:rPr>
              <w:t>　　1.每天早6时至晚9时，禁止本市和外省、自治区、直辖市（含临时号牌）的载货汽车通行；</w:t>
            </w:r>
          </w:p>
          <w:p>
            <w:pPr>
              <w:rPr>
                <w:rFonts w:hint="eastAsia"/>
                <w:sz w:val="18"/>
                <w:szCs w:val="18"/>
              </w:rPr>
            </w:pPr>
            <w:r>
              <w:rPr>
                <w:rFonts w:hint="eastAsia"/>
                <w:sz w:val="18"/>
                <w:szCs w:val="18"/>
              </w:rPr>
              <w:t>　　2.每天晚9时至次日早6时，禁止本市和外省、自治区、直辖市（含临时号牌）核定载质量2吨（含）以上的载货汽车通行；</w:t>
            </w:r>
          </w:p>
          <w:p>
            <w:pPr>
              <w:rPr>
                <w:rFonts w:hint="eastAsia"/>
                <w:sz w:val="18"/>
                <w:szCs w:val="18"/>
              </w:rPr>
            </w:pPr>
            <w:r>
              <w:rPr>
                <w:rFonts w:hint="eastAsia"/>
                <w:sz w:val="18"/>
                <w:szCs w:val="18"/>
              </w:rPr>
              <w:t>　　3.全天禁止低速载货汽车、拖拉机、专项作业车通行；</w:t>
            </w:r>
          </w:p>
          <w:p>
            <w:pPr>
              <w:rPr>
                <w:rFonts w:hint="eastAsia"/>
                <w:sz w:val="18"/>
                <w:szCs w:val="18"/>
              </w:rPr>
            </w:pPr>
            <w:r>
              <w:rPr>
                <w:rFonts w:hint="eastAsia"/>
                <w:sz w:val="18"/>
                <w:szCs w:val="18"/>
              </w:rPr>
              <w:t>　　4.全天禁止运输危险物品车辆通行。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1" w:hRule="atLeast"/>
        </w:trPr>
        <w:tc>
          <w:tcPr>
            <w:tcW w:w="1067" w:type="dxa"/>
            <w:vAlign w:val="center"/>
          </w:tcPr>
          <w:p>
            <w:pPr>
              <w:jc w:val="center"/>
              <w:rPr>
                <w:sz w:val="18"/>
                <w:szCs w:val="18"/>
              </w:rPr>
            </w:pPr>
            <w:r>
              <w:rPr>
                <w:rFonts w:ascii="Times New Roman" w:hAnsi="Times New Roman" w:cs="Times New Roman"/>
                <w:sz w:val="18"/>
                <w:szCs w:val="18"/>
              </w:rPr>
              <w:t>2018-12-6</w:t>
            </w:r>
          </w:p>
        </w:tc>
        <w:tc>
          <w:tcPr>
            <w:tcW w:w="2053" w:type="dxa"/>
            <w:vAlign w:val="center"/>
          </w:tcPr>
          <w:p>
            <w:pPr>
              <w:jc w:val="center"/>
              <w:rPr>
                <w:sz w:val="18"/>
                <w:szCs w:val="18"/>
              </w:rPr>
            </w:pPr>
            <w:r>
              <w:rPr>
                <w:rFonts w:hint="eastAsia"/>
                <w:sz w:val="18"/>
                <w:szCs w:val="18"/>
              </w:rPr>
              <w:t>关于对部分机动车采取交通管理措施降低污染物排放的通告</w:t>
            </w:r>
          </w:p>
        </w:tc>
        <w:tc>
          <w:tcPr>
            <w:tcW w:w="2067" w:type="dxa"/>
            <w:vAlign w:val="center"/>
          </w:tcPr>
          <w:p>
            <w:pPr>
              <w:jc w:val="center"/>
              <w:rPr>
                <w:rFonts w:eastAsia="宋体"/>
                <w:sz w:val="18"/>
                <w:szCs w:val="18"/>
              </w:rPr>
            </w:pPr>
            <w:r>
              <w:fldChar w:fldCharType="begin"/>
            </w:r>
            <w:r>
              <w:instrText xml:space="preserve"> HYPERLINK "http://www.beijing.gov.cn/zhengce/zhengcefagui/201910/t20191028_460844.html" </w:instrText>
            </w:r>
            <w:r>
              <w:fldChar w:fldCharType="separate"/>
            </w:r>
            <w:r>
              <w:rPr>
                <w:rStyle w:val="9"/>
                <w:rFonts w:ascii="Times New Roman" w:hAnsi="Times New Roman" w:eastAsia="宋体" w:cs="Times New Roman"/>
                <w:sz w:val="18"/>
                <w:szCs w:val="18"/>
              </w:rPr>
              <w:t>http://www.beijing.gov.cn/zhengce/zhengcefagui/201910/t20191028_460844.html</w:t>
            </w:r>
            <w:r>
              <w:rPr>
                <w:rStyle w:val="9"/>
                <w:rFonts w:ascii="Times New Roman" w:hAnsi="Times New Roman" w:eastAsia="宋体" w:cs="Times New Roman"/>
                <w:sz w:val="18"/>
                <w:szCs w:val="18"/>
              </w:rPr>
              <w:fldChar w:fldCharType="end"/>
            </w:r>
          </w:p>
        </w:tc>
        <w:tc>
          <w:tcPr>
            <w:tcW w:w="1920" w:type="dxa"/>
            <w:vAlign w:val="center"/>
          </w:tcPr>
          <w:p>
            <w:pPr>
              <w:jc w:val="center"/>
              <w:rPr>
                <w:sz w:val="18"/>
                <w:szCs w:val="18"/>
              </w:rPr>
            </w:pPr>
            <w:r>
              <w:rPr>
                <w:rFonts w:hint="eastAsia"/>
                <w:sz w:val="18"/>
                <w:szCs w:val="18"/>
              </w:rPr>
              <w:t>北京市大兴区人民政府</w:t>
            </w:r>
          </w:p>
        </w:tc>
        <w:tc>
          <w:tcPr>
            <w:tcW w:w="3120" w:type="dxa"/>
            <w:vAlign w:val="center"/>
          </w:tcPr>
          <w:p>
            <w:pPr>
              <w:rPr>
                <w:sz w:val="18"/>
                <w:szCs w:val="18"/>
              </w:rPr>
            </w:pPr>
            <w:r>
              <w:rPr>
                <w:rFonts w:hint="eastAsia"/>
                <w:sz w:val="18"/>
                <w:szCs w:val="18"/>
              </w:rPr>
              <w:t>京开高速公路西辅路（含）、南五环路（不含）、京良路南五环至芦求路之间路段（含）、芦求路（不含）、佟前路（含）、永华路（含）、兴华大街（含）、林校北路（含）围成区域以内道路。</w:t>
            </w:r>
          </w:p>
          <w:p>
            <w:pPr>
              <w:rPr>
                <w:sz w:val="18"/>
                <w:szCs w:val="18"/>
              </w:rPr>
            </w:pPr>
            <w:r>
              <w:rPr>
                <w:rFonts w:hint="eastAsia"/>
                <w:sz w:val="18"/>
                <w:szCs w:val="18"/>
              </w:rPr>
              <w:t>每天</w:t>
            </w:r>
            <w:r>
              <w:rPr>
                <w:rFonts w:ascii="Times New Roman" w:hAnsi="Times New Roman" w:cs="Times New Roman"/>
                <w:sz w:val="18"/>
                <w:szCs w:val="18"/>
              </w:rPr>
              <w:t>6</w:t>
            </w:r>
            <w:r>
              <w:rPr>
                <w:rFonts w:hint="eastAsia"/>
                <w:sz w:val="18"/>
                <w:szCs w:val="18"/>
              </w:rPr>
              <w:t>时至</w:t>
            </w:r>
            <w:r>
              <w:rPr>
                <w:rFonts w:ascii="Times New Roman" w:hAnsi="Times New Roman" w:cs="Times New Roman"/>
                <w:sz w:val="18"/>
                <w:szCs w:val="18"/>
              </w:rPr>
              <w:t>23</w:t>
            </w:r>
            <w:r>
              <w:rPr>
                <w:rFonts w:hint="eastAsia"/>
                <w:sz w:val="18"/>
                <w:szCs w:val="18"/>
              </w:rPr>
              <w:t>时，禁止本市载货汽车和专项作业车进入本通告划定区域内道路行驶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7" w:type="dxa"/>
            <w:vAlign w:val="center"/>
          </w:tcPr>
          <w:p>
            <w:pPr>
              <w:jc w:val="center"/>
              <w:rPr>
                <w:sz w:val="18"/>
                <w:szCs w:val="18"/>
              </w:rPr>
            </w:pPr>
            <w:r>
              <w:rPr>
                <w:rFonts w:hint="eastAsia" w:ascii="Times New Roman" w:hAnsi="Times New Roman" w:cs="Times New Roman"/>
                <w:sz w:val="18"/>
                <w:szCs w:val="18"/>
              </w:rPr>
              <w:t>2018-11-1</w:t>
            </w:r>
          </w:p>
        </w:tc>
        <w:tc>
          <w:tcPr>
            <w:tcW w:w="2053" w:type="dxa"/>
            <w:vAlign w:val="center"/>
          </w:tcPr>
          <w:p>
            <w:pPr>
              <w:jc w:val="center"/>
              <w:rPr>
                <w:sz w:val="18"/>
                <w:szCs w:val="18"/>
              </w:rPr>
            </w:pPr>
            <w:r>
              <w:rPr>
                <w:rFonts w:hint="eastAsia"/>
                <w:sz w:val="18"/>
                <w:szCs w:val="18"/>
              </w:rPr>
              <w:t>关于对国三排放标准柴油载货汽车采取交通管理措施降低污染物排放的通告</w:t>
            </w:r>
          </w:p>
        </w:tc>
        <w:tc>
          <w:tcPr>
            <w:tcW w:w="2067" w:type="dxa"/>
            <w:vAlign w:val="center"/>
          </w:tcPr>
          <w:p>
            <w:pPr>
              <w:jc w:val="center"/>
              <w:rPr>
                <w:sz w:val="18"/>
                <w:szCs w:val="18"/>
              </w:rPr>
            </w:pPr>
            <w:r>
              <w:fldChar w:fldCharType="begin"/>
            </w:r>
            <w:r>
              <w:instrText xml:space="preserve"> HYPERLINK "http://jtgl.beijing.gov.cn/jgj/jgxx/gsgg/jttg/588465/588470/index.html" </w:instrText>
            </w:r>
            <w:r>
              <w:fldChar w:fldCharType="separate"/>
            </w:r>
            <w:r>
              <w:rPr>
                <w:rStyle w:val="9"/>
                <w:rFonts w:ascii="Times New Roman" w:hAnsi="Times New Roman" w:eastAsia="宋体" w:cs="Times New Roman"/>
                <w:sz w:val="18"/>
                <w:szCs w:val="18"/>
              </w:rPr>
              <w:t>http://jtgl.beijing.gov.cn/jgj/jgxx/gsgg/jttg/588465/588470/index.html</w:t>
            </w:r>
            <w:r>
              <w:rPr>
                <w:rStyle w:val="9"/>
                <w:rFonts w:ascii="Times New Roman" w:hAnsi="Times New Roman" w:eastAsia="宋体" w:cs="Times New Roman"/>
                <w:sz w:val="18"/>
                <w:szCs w:val="18"/>
              </w:rPr>
              <w:fldChar w:fldCharType="end"/>
            </w:r>
          </w:p>
        </w:tc>
        <w:tc>
          <w:tcPr>
            <w:tcW w:w="1920" w:type="dxa"/>
            <w:vAlign w:val="center"/>
          </w:tcPr>
          <w:p>
            <w:pPr>
              <w:jc w:val="center"/>
              <w:rPr>
                <w:sz w:val="18"/>
                <w:szCs w:val="18"/>
              </w:rPr>
            </w:pPr>
            <w:r>
              <w:rPr>
                <w:rFonts w:hint="eastAsia"/>
                <w:sz w:val="18"/>
                <w:szCs w:val="18"/>
              </w:rPr>
              <w:t>北京市交通委员会</w:t>
            </w:r>
          </w:p>
          <w:p>
            <w:pPr>
              <w:jc w:val="center"/>
              <w:rPr>
                <w:sz w:val="18"/>
                <w:szCs w:val="18"/>
              </w:rPr>
            </w:pPr>
            <w:r>
              <w:rPr>
                <w:rFonts w:hint="eastAsia"/>
                <w:sz w:val="18"/>
                <w:szCs w:val="18"/>
              </w:rPr>
              <w:t>北京市环境保护局</w:t>
            </w:r>
          </w:p>
          <w:p>
            <w:pPr>
              <w:jc w:val="center"/>
              <w:rPr>
                <w:sz w:val="18"/>
                <w:szCs w:val="18"/>
              </w:rPr>
            </w:pPr>
            <w:r>
              <w:rPr>
                <w:rFonts w:hint="eastAsia"/>
                <w:sz w:val="18"/>
                <w:szCs w:val="18"/>
              </w:rPr>
              <w:t>北京市公安局公安交通管理局</w:t>
            </w:r>
          </w:p>
        </w:tc>
        <w:tc>
          <w:tcPr>
            <w:tcW w:w="3120" w:type="dxa"/>
            <w:vAlign w:val="center"/>
          </w:tcPr>
          <w:p>
            <w:pPr>
              <w:rPr>
                <w:sz w:val="18"/>
                <w:szCs w:val="18"/>
              </w:rPr>
            </w:pPr>
            <w:r>
              <w:rPr>
                <w:rFonts w:hint="eastAsia"/>
                <w:sz w:val="18"/>
                <w:szCs w:val="18"/>
              </w:rPr>
              <w:t>自</w:t>
            </w:r>
            <w:r>
              <w:rPr>
                <w:rFonts w:ascii="Times New Roman" w:hAnsi="Times New Roman" w:cs="Times New Roman"/>
                <w:sz w:val="18"/>
                <w:szCs w:val="18"/>
              </w:rPr>
              <w:t>2019</w:t>
            </w:r>
            <w:r>
              <w:rPr>
                <w:rFonts w:hint="eastAsia"/>
                <w:sz w:val="18"/>
                <w:szCs w:val="18"/>
              </w:rPr>
              <w:t>年</w:t>
            </w:r>
            <w:r>
              <w:rPr>
                <w:rFonts w:ascii="Times New Roman" w:hAnsi="Times New Roman" w:cs="Times New Roman"/>
                <w:sz w:val="18"/>
                <w:szCs w:val="18"/>
              </w:rPr>
              <w:t>11</w:t>
            </w:r>
            <w:r>
              <w:rPr>
                <w:rFonts w:hint="eastAsia"/>
                <w:sz w:val="18"/>
                <w:szCs w:val="18"/>
              </w:rPr>
              <w:t>月</w:t>
            </w:r>
            <w:r>
              <w:rPr>
                <w:rFonts w:ascii="Times New Roman" w:hAnsi="Times New Roman" w:cs="Times New Roman"/>
                <w:sz w:val="18"/>
                <w:szCs w:val="18"/>
              </w:rPr>
              <w:t>1</w:t>
            </w:r>
            <w:r>
              <w:rPr>
                <w:rFonts w:hint="eastAsia"/>
                <w:sz w:val="18"/>
                <w:szCs w:val="18"/>
              </w:rPr>
              <w:t>日起，全天禁止所有国三排放标准柴油载货汽车（含整车运送鲜活农产品的国三排放标准柴油载货汽车进入本市行政区域内道路行驶）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7" w:type="dxa"/>
            <w:vAlign w:val="center"/>
          </w:tcPr>
          <w:p>
            <w:pPr>
              <w:jc w:val="center"/>
              <w:rPr>
                <w:sz w:val="18"/>
                <w:szCs w:val="18"/>
              </w:rPr>
            </w:pPr>
            <w:r>
              <w:rPr>
                <w:rFonts w:ascii="Times New Roman" w:hAnsi="Times New Roman" w:cs="Times New Roman"/>
                <w:sz w:val="18"/>
                <w:szCs w:val="18"/>
              </w:rPr>
              <w:t>2017-8-21</w:t>
            </w:r>
          </w:p>
        </w:tc>
        <w:tc>
          <w:tcPr>
            <w:tcW w:w="2053" w:type="dxa"/>
            <w:vAlign w:val="center"/>
          </w:tcPr>
          <w:p>
            <w:pPr>
              <w:jc w:val="center"/>
              <w:rPr>
                <w:sz w:val="18"/>
                <w:szCs w:val="18"/>
              </w:rPr>
            </w:pPr>
            <w:r>
              <w:rPr>
                <w:rFonts w:hint="eastAsia"/>
                <w:sz w:val="18"/>
                <w:szCs w:val="18"/>
              </w:rPr>
              <w:t>关于对部分载货汽车采取交通管理措施降低污染物排放的通告</w:t>
            </w:r>
          </w:p>
        </w:tc>
        <w:tc>
          <w:tcPr>
            <w:tcW w:w="2067" w:type="dxa"/>
            <w:vAlign w:val="center"/>
          </w:tcPr>
          <w:p>
            <w:pPr>
              <w:jc w:val="center"/>
              <w:rPr>
                <w:sz w:val="18"/>
                <w:szCs w:val="18"/>
              </w:rPr>
            </w:pPr>
            <w:r>
              <w:fldChar w:fldCharType="begin"/>
            </w:r>
            <w:r>
              <w:instrText xml:space="preserve"> HYPERLINK "http://www.bjjtgl.gov.cn/jgj/bjsgajgajtgljtg/537086/index.html" </w:instrText>
            </w:r>
            <w:r>
              <w:fldChar w:fldCharType="separate"/>
            </w:r>
            <w:r>
              <w:rPr>
                <w:rStyle w:val="9"/>
                <w:rFonts w:ascii="Times New Roman" w:hAnsi="Times New Roman" w:eastAsia="宋体" w:cs="Times New Roman"/>
                <w:sz w:val="18"/>
                <w:szCs w:val="18"/>
              </w:rPr>
              <w:t>http://www.bjjtgl.gov.cn/jgj/bjsgajgajtgljtg/537086/index.html</w:t>
            </w:r>
            <w:r>
              <w:rPr>
                <w:rStyle w:val="9"/>
                <w:rFonts w:ascii="Times New Roman" w:hAnsi="Times New Roman" w:eastAsia="宋体" w:cs="Times New Roman"/>
                <w:sz w:val="18"/>
                <w:szCs w:val="18"/>
              </w:rPr>
              <w:fldChar w:fldCharType="end"/>
            </w:r>
          </w:p>
        </w:tc>
        <w:tc>
          <w:tcPr>
            <w:tcW w:w="1920" w:type="dxa"/>
            <w:vAlign w:val="center"/>
          </w:tcPr>
          <w:p>
            <w:pPr>
              <w:jc w:val="center"/>
              <w:rPr>
                <w:sz w:val="18"/>
                <w:szCs w:val="18"/>
              </w:rPr>
            </w:pPr>
            <w:r>
              <w:rPr>
                <w:rFonts w:hint="eastAsia"/>
                <w:sz w:val="18"/>
                <w:szCs w:val="18"/>
              </w:rPr>
              <w:t>北京市交通委员会</w:t>
            </w:r>
          </w:p>
          <w:p>
            <w:pPr>
              <w:jc w:val="center"/>
              <w:rPr>
                <w:sz w:val="18"/>
                <w:szCs w:val="18"/>
              </w:rPr>
            </w:pPr>
            <w:r>
              <w:rPr>
                <w:rFonts w:hint="eastAsia"/>
                <w:sz w:val="18"/>
                <w:szCs w:val="18"/>
              </w:rPr>
              <w:t>北京市环境保护局</w:t>
            </w:r>
          </w:p>
          <w:p>
            <w:pPr>
              <w:jc w:val="center"/>
              <w:rPr>
                <w:sz w:val="18"/>
                <w:szCs w:val="18"/>
              </w:rPr>
            </w:pPr>
            <w:r>
              <w:rPr>
                <w:rFonts w:hint="eastAsia"/>
                <w:sz w:val="18"/>
                <w:szCs w:val="18"/>
              </w:rPr>
              <w:t>北京市公安局公安交通管理局</w:t>
            </w:r>
          </w:p>
        </w:tc>
        <w:tc>
          <w:tcPr>
            <w:tcW w:w="3120" w:type="dxa"/>
            <w:vAlign w:val="center"/>
          </w:tcPr>
          <w:p>
            <w:pPr>
              <w:rPr>
                <w:sz w:val="18"/>
                <w:szCs w:val="18"/>
              </w:rPr>
            </w:pPr>
            <w:r>
              <w:rPr>
                <w:rFonts w:hint="eastAsia"/>
                <w:sz w:val="18"/>
                <w:szCs w:val="18"/>
              </w:rPr>
              <w:t>自2019年9月21日起，六环路（含）以内道路全天禁止所有国Ⅲ排放标准柴油载货汽车（含整车运送鲜活农产品的国Ⅲ排放标准柴油载货汽车）通行。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7" w:type="dxa"/>
            <w:vAlign w:val="center"/>
          </w:tcPr>
          <w:p>
            <w:pPr>
              <w:jc w:val="center"/>
              <w:rPr>
                <w:sz w:val="18"/>
                <w:szCs w:val="18"/>
              </w:rPr>
            </w:pPr>
            <w:r>
              <w:rPr>
                <w:rFonts w:hint="eastAsia"/>
                <w:sz w:val="18"/>
                <w:szCs w:val="18"/>
              </w:rPr>
              <w:t>2017-7-13</w:t>
            </w:r>
          </w:p>
        </w:tc>
        <w:tc>
          <w:tcPr>
            <w:tcW w:w="2053" w:type="dxa"/>
            <w:vAlign w:val="center"/>
          </w:tcPr>
          <w:p>
            <w:pPr>
              <w:jc w:val="center"/>
              <w:rPr>
                <w:sz w:val="18"/>
                <w:szCs w:val="18"/>
              </w:rPr>
            </w:pPr>
            <w:r>
              <w:rPr>
                <w:rFonts w:hint="eastAsia"/>
                <w:sz w:val="18"/>
                <w:szCs w:val="18"/>
              </w:rPr>
              <w:t>关于调整通州区部分道路交通管理禁限行措施的通告</w:t>
            </w:r>
          </w:p>
        </w:tc>
        <w:tc>
          <w:tcPr>
            <w:tcW w:w="2067" w:type="dxa"/>
            <w:vAlign w:val="center"/>
          </w:tcPr>
          <w:p>
            <w:pPr>
              <w:jc w:val="center"/>
              <w:rPr>
                <w:sz w:val="18"/>
                <w:szCs w:val="18"/>
              </w:rPr>
            </w:pPr>
            <w:r>
              <w:rPr>
                <w:rStyle w:val="9"/>
                <w:rFonts w:ascii="Times New Roman" w:hAnsi="Times New Roman" w:eastAsia="宋体" w:cs="Times New Roman"/>
                <w:sz w:val="18"/>
                <w:szCs w:val="18"/>
              </w:rPr>
              <w:fldChar w:fldCharType="begin"/>
            </w:r>
            <w:r>
              <w:rPr>
                <w:rStyle w:val="9"/>
                <w:rFonts w:ascii="Times New Roman" w:hAnsi="Times New Roman" w:eastAsia="宋体" w:cs="Times New Roman"/>
                <w:sz w:val="18"/>
                <w:szCs w:val="18"/>
              </w:rPr>
              <w:instrText xml:space="preserve"> HYPERLINK "http://www.xinhuanet.com//auto/2017-07/07/c_1121278702.htm" </w:instrText>
            </w:r>
            <w:r>
              <w:rPr>
                <w:rStyle w:val="9"/>
                <w:rFonts w:ascii="Times New Roman" w:hAnsi="Times New Roman" w:eastAsia="宋体" w:cs="Times New Roman"/>
                <w:sz w:val="18"/>
                <w:szCs w:val="18"/>
              </w:rPr>
              <w:fldChar w:fldCharType="separate"/>
            </w:r>
            <w:r>
              <w:rPr>
                <w:rStyle w:val="9"/>
                <w:rFonts w:ascii="Times New Roman" w:hAnsi="Times New Roman" w:eastAsia="宋体" w:cs="Times New Roman"/>
                <w:sz w:val="18"/>
                <w:szCs w:val="18"/>
              </w:rPr>
              <w:t>http://www.xinhuanet.com//auto/2017-07/07/c_1121278702.htm</w:t>
            </w:r>
            <w:r>
              <w:rPr>
                <w:rStyle w:val="9"/>
                <w:rFonts w:ascii="Times New Roman" w:hAnsi="Times New Roman" w:eastAsia="宋体" w:cs="Times New Roman"/>
                <w:sz w:val="18"/>
                <w:szCs w:val="18"/>
              </w:rPr>
              <w:fldChar w:fldCharType="end"/>
            </w:r>
          </w:p>
        </w:tc>
        <w:tc>
          <w:tcPr>
            <w:tcW w:w="1920" w:type="dxa"/>
            <w:vAlign w:val="center"/>
          </w:tcPr>
          <w:p>
            <w:pPr>
              <w:jc w:val="center"/>
              <w:rPr>
                <w:sz w:val="18"/>
                <w:szCs w:val="18"/>
              </w:rPr>
            </w:pPr>
            <w:r>
              <w:rPr>
                <w:rFonts w:hint="eastAsia"/>
                <w:sz w:val="18"/>
                <w:szCs w:val="18"/>
              </w:rPr>
              <w:t>北京市通州区人民政府</w:t>
            </w:r>
          </w:p>
        </w:tc>
        <w:tc>
          <w:tcPr>
            <w:tcW w:w="3120" w:type="dxa"/>
            <w:vAlign w:val="center"/>
          </w:tcPr>
          <w:p>
            <w:pPr>
              <w:rPr>
                <w:sz w:val="18"/>
                <w:szCs w:val="18"/>
              </w:rPr>
            </w:pPr>
            <w:r>
              <w:rPr>
                <w:rFonts w:hint="eastAsia"/>
                <w:sz w:val="18"/>
                <w:szCs w:val="18"/>
              </w:rPr>
              <w:t>南起万盛南街，北到路苑北大街，东至宋梁路，西至通州区界。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7" w:type="dxa"/>
            <w:vAlign w:val="center"/>
          </w:tcPr>
          <w:p>
            <w:pPr>
              <w:jc w:val="center"/>
              <w:rPr>
                <w:sz w:val="18"/>
                <w:szCs w:val="18"/>
              </w:rPr>
            </w:pPr>
            <w:r>
              <w:rPr>
                <w:rFonts w:hint="eastAsia" w:ascii="Times New Roman" w:hAnsi="Times New Roman" w:cs="Times New Roman"/>
                <w:sz w:val="18"/>
                <w:szCs w:val="18"/>
              </w:rPr>
              <w:t>2015-12-11</w:t>
            </w:r>
          </w:p>
        </w:tc>
        <w:tc>
          <w:tcPr>
            <w:tcW w:w="2053" w:type="dxa"/>
            <w:vAlign w:val="center"/>
          </w:tcPr>
          <w:p>
            <w:pPr>
              <w:jc w:val="center"/>
              <w:rPr>
                <w:sz w:val="18"/>
                <w:szCs w:val="18"/>
              </w:rPr>
            </w:pPr>
            <w:r>
              <w:rPr>
                <w:rFonts w:hint="eastAsia"/>
                <w:sz w:val="18"/>
                <w:szCs w:val="18"/>
              </w:rPr>
              <w:t>关于房山区部分道路禁止核定载质量5吨（含）以上载货汽车通行的通告</w:t>
            </w:r>
          </w:p>
        </w:tc>
        <w:tc>
          <w:tcPr>
            <w:tcW w:w="2067" w:type="dxa"/>
            <w:vAlign w:val="center"/>
          </w:tcPr>
          <w:p>
            <w:pPr>
              <w:jc w:val="center"/>
              <w:rPr>
                <w:sz w:val="18"/>
                <w:szCs w:val="18"/>
              </w:rPr>
            </w:pPr>
            <w:r>
              <w:rPr>
                <w:rStyle w:val="9"/>
                <w:rFonts w:hint="eastAsia" w:ascii="Times New Roman" w:hAnsi="Times New Roman" w:eastAsia="宋体" w:cs="Times New Roman"/>
                <w:sz w:val="18"/>
                <w:szCs w:val="18"/>
              </w:rPr>
              <w:t>http://www.bjmy.gov.cn/art/2015</w:t>
            </w:r>
            <w:bookmarkStart w:id="0" w:name="_GoBack"/>
            <w:bookmarkEnd w:id="0"/>
            <w:r>
              <w:rPr>
                <w:rStyle w:val="9"/>
                <w:rFonts w:hint="eastAsia" w:ascii="Times New Roman" w:hAnsi="Times New Roman" w:eastAsia="宋体" w:cs="Times New Roman"/>
                <w:sz w:val="18"/>
                <w:szCs w:val="18"/>
              </w:rPr>
              <w:t>/12/14/art_3334_263601.html</w:t>
            </w:r>
          </w:p>
        </w:tc>
        <w:tc>
          <w:tcPr>
            <w:tcW w:w="1920" w:type="dxa"/>
            <w:vAlign w:val="center"/>
          </w:tcPr>
          <w:p>
            <w:pPr>
              <w:jc w:val="center"/>
              <w:rPr>
                <w:sz w:val="18"/>
                <w:szCs w:val="18"/>
              </w:rPr>
            </w:pPr>
            <w:r>
              <w:rPr>
                <w:rFonts w:hint="eastAsia"/>
                <w:sz w:val="18"/>
                <w:szCs w:val="18"/>
              </w:rPr>
              <w:t>北京市公安局公安交通管理局</w:t>
            </w:r>
          </w:p>
        </w:tc>
        <w:tc>
          <w:tcPr>
            <w:tcW w:w="3120" w:type="dxa"/>
            <w:vAlign w:val="center"/>
          </w:tcPr>
          <w:p>
            <w:pPr>
              <w:rPr>
                <w:sz w:val="18"/>
                <w:szCs w:val="18"/>
              </w:rPr>
            </w:pPr>
            <w:r>
              <w:rPr>
                <w:rFonts w:hint="eastAsia"/>
                <w:sz w:val="18"/>
                <w:szCs w:val="18"/>
              </w:rPr>
              <w:t>禁止核定载质量5吨（含）以上载货汽车通行的交通管理措施：</w:t>
            </w:r>
          </w:p>
          <w:p>
            <w:pPr>
              <w:numPr>
                <w:ilvl w:val="0"/>
                <w:numId w:val="1"/>
              </w:numPr>
              <w:rPr>
                <w:sz w:val="18"/>
                <w:szCs w:val="18"/>
              </w:rPr>
            </w:pPr>
            <w:r>
              <w:rPr>
                <w:rFonts w:hint="eastAsia"/>
                <w:sz w:val="18"/>
                <w:szCs w:val="18"/>
              </w:rPr>
              <w:t>房易路（五候路口至良各庄路口）；</w:t>
            </w:r>
          </w:p>
          <w:p>
            <w:pPr>
              <w:numPr>
                <w:ilvl w:val="0"/>
                <w:numId w:val="1"/>
              </w:numPr>
              <w:rPr>
                <w:sz w:val="18"/>
                <w:szCs w:val="18"/>
              </w:rPr>
            </w:pPr>
            <w:r>
              <w:rPr>
                <w:rFonts w:hint="eastAsia"/>
                <w:sz w:val="18"/>
                <w:szCs w:val="18"/>
              </w:rPr>
              <w:t>云居寺路（周张路至房易路）。</w:t>
            </w:r>
          </w:p>
        </w:tc>
      </w:tr>
    </w:tbl>
    <w:p>
      <w:pPr>
        <w:rPr>
          <w:sz w:val="18"/>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A1F914"/>
    <w:multiLevelType w:val="singleLevel"/>
    <w:tmpl w:val="51A1F91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9D63886"/>
    <w:rsid w:val="001045F9"/>
    <w:rsid w:val="003028F9"/>
    <w:rsid w:val="00BD1700"/>
    <w:rsid w:val="00F221F8"/>
    <w:rsid w:val="04030807"/>
    <w:rsid w:val="2E635BEE"/>
    <w:rsid w:val="69D63886"/>
    <w:rsid w:val="70505A83"/>
    <w:rsid w:val="774E44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1"/>
    <w:uiPriority w:val="0"/>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uiPriority w:val="0"/>
    <w:rPr>
      <w:color w:val="0000FF"/>
      <w:u w:val="single"/>
    </w:rPr>
  </w:style>
  <w:style w:type="character" w:customStyle="1" w:styleId="10">
    <w:name w:val="页眉 Char"/>
    <w:basedOn w:val="8"/>
    <w:link w:val="4"/>
    <w:qFormat/>
    <w:uiPriority w:val="0"/>
    <w:rPr>
      <w:rFonts w:asciiTheme="minorHAnsi" w:hAnsiTheme="minorHAnsi" w:eastAsiaTheme="minorEastAsia" w:cstheme="minorBidi"/>
      <w:kern w:val="2"/>
      <w:sz w:val="18"/>
      <w:szCs w:val="18"/>
    </w:rPr>
  </w:style>
  <w:style w:type="character" w:customStyle="1" w:styleId="11">
    <w:name w:val="页脚 Char"/>
    <w:basedOn w:val="8"/>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251</Words>
  <Characters>1436</Characters>
  <Lines>11</Lines>
  <Paragraphs>3</Paragraphs>
  <TotalTime>67</TotalTime>
  <ScaleCrop>false</ScaleCrop>
  <LinksUpToDate>false</LinksUpToDate>
  <CharactersWithSpaces>1684</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2020-09-27T03:52:00Z</dcterms:created>
  <dc:creator>哎呀</dc:creator>
  <cp:lastModifiedBy>哎呀</cp:lastModifiedBy>
  <dcterms:modified xsi:type="dcterms:W3CDTF">2020-09-28T01:24:18Z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